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5F" w:rsidRDefault="005C0B5F" w:rsidP="005C0B5F">
      <w:pPr>
        <w:rPr>
          <w:b/>
        </w:rPr>
      </w:pPr>
      <w:r>
        <w:rPr>
          <w:b/>
        </w:rPr>
        <w:t>Living Environment Assignment Sheet</w:t>
      </w:r>
    </w:p>
    <w:p w:rsidR="005C0B5F" w:rsidRDefault="005C0B5F" w:rsidP="005C0B5F">
      <w:pPr>
        <w:rPr>
          <w:b/>
        </w:rPr>
      </w:pPr>
      <w:r>
        <w:rPr>
          <w:b/>
        </w:rPr>
        <w:t>1/19-1/30/15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 Nies ’14-‘15</w:t>
      </w:r>
    </w:p>
    <w:p w:rsidR="005C0B5F" w:rsidRDefault="005C0B5F" w:rsidP="005C0B5F">
      <w:pPr>
        <w:jc w:val="center"/>
        <w:rPr>
          <w:b/>
        </w:rPr>
      </w:pPr>
      <w:r>
        <w:rPr>
          <w:b/>
        </w:rPr>
        <w:t>Cell processes</w:t>
      </w:r>
      <w:r w:rsidR="00405CDA">
        <w:rPr>
          <w:b/>
        </w:rPr>
        <w:t>-Transport and Mitosis</w:t>
      </w:r>
    </w:p>
    <w:p w:rsidR="005C0B5F" w:rsidRDefault="005C0B5F" w:rsidP="005C0B5F">
      <w:pPr>
        <w:jc w:val="center"/>
        <w:rPr>
          <w:b/>
        </w:rPr>
      </w:pPr>
    </w:p>
    <w:p w:rsidR="005C0B5F" w:rsidRPr="00405CDA" w:rsidRDefault="005C0B5F" w:rsidP="00405CDA">
      <w:pPr>
        <w:jc w:val="center"/>
        <w:rPr>
          <w:b/>
          <w:u w:val="single"/>
        </w:rPr>
      </w:pPr>
      <w:r w:rsidRPr="00CA3891">
        <w:rPr>
          <w:u w:val="single"/>
        </w:rPr>
        <w:t>Assignments are listed on day they are assigned.  Work is due the next day</w:t>
      </w:r>
      <w:r>
        <w:rPr>
          <w:b/>
          <w:u w:val="single"/>
        </w:rPr>
        <w:t>.</w:t>
      </w:r>
    </w:p>
    <w:p w:rsidR="005C0B5F" w:rsidRDefault="005C0B5F" w:rsidP="005C0B5F">
      <w:pPr>
        <w:tabs>
          <w:tab w:val="left" w:pos="7740"/>
        </w:tabs>
        <w:rPr>
          <w:i/>
        </w:rPr>
      </w:pPr>
      <w:r>
        <w:rPr>
          <w:i/>
        </w:rPr>
        <w:t>Vocabulary-</w:t>
      </w:r>
    </w:p>
    <w:p w:rsidR="005C0B5F" w:rsidRDefault="005C0B5F" w:rsidP="005C0B5F">
      <w:pPr>
        <w:tabs>
          <w:tab w:val="left" w:pos="7740"/>
        </w:tabs>
      </w:pPr>
      <w:r>
        <w:t xml:space="preserve">                      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</w:tblGrid>
      <w:tr w:rsidR="00405CDA" w:rsidTr="00B34CD3">
        <w:tc>
          <w:tcPr>
            <w:tcW w:w="2952" w:type="dxa"/>
            <w:shd w:val="clear" w:color="auto" w:fill="auto"/>
          </w:tcPr>
          <w:p w:rsidR="00405CDA" w:rsidRDefault="00405CDA" w:rsidP="00B34CD3">
            <w:pPr>
              <w:tabs>
                <w:tab w:val="left" w:pos="7740"/>
              </w:tabs>
              <w:jc w:val="center"/>
              <w:rPr>
                <w:b/>
              </w:rPr>
            </w:pPr>
            <w:r w:rsidRPr="00E424C9">
              <w:rPr>
                <w:b/>
              </w:rPr>
              <w:t>A</w:t>
            </w:r>
          </w:p>
          <w:p w:rsidR="00405CDA" w:rsidRPr="003F0564" w:rsidRDefault="00405CDA" w:rsidP="003F0564">
            <w:pPr>
              <w:tabs>
                <w:tab w:val="left" w:pos="7740"/>
              </w:tabs>
              <w:jc w:val="center"/>
            </w:pPr>
            <w:r w:rsidRPr="003F0564">
              <w:t>Mitosis</w:t>
            </w:r>
          </w:p>
          <w:p w:rsidR="00405CDA" w:rsidRPr="003F0564" w:rsidRDefault="00405CDA" w:rsidP="003F0564">
            <w:pPr>
              <w:tabs>
                <w:tab w:val="left" w:pos="7740"/>
              </w:tabs>
              <w:jc w:val="center"/>
            </w:pPr>
            <w:r w:rsidRPr="003F0564">
              <w:t>Cell cycle</w:t>
            </w:r>
          </w:p>
          <w:p w:rsidR="00405CDA" w:rsidRPr="003F0564" w:rsidRDefault="00405CDA" w:rsidP="003F0564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3F0564">
              <w:t>DNA replication</w:t>
            </w:r>
          </w:p>
        </w:tc>
        <w:tc>
          <w:tcPr>
            <w:tcW w:w="2952" w:type="dxa"/>
            <w:shd w:val="clear" w:color="auto" w:fill="auto"/>
          </w:tcPr>
          <w:p w:rsidR="00405CDA" w:rsidRDefault="00405CDA" w:rsidP="00B34CD3">
            <w:pPr>
              <w:tabs>
                <w:tab w:val="left" w:pos="7740"/>
              </w:tabs>
              <w:jc w:val="center"/>
              <w:rPr>
                <w:b/>
              </w:rPr>
            </w:pPr>
            <w:r w:rsidRPr="00E424C9">
              <w:rPr>
                <w:b/>
              </w:rPr>
              <w:t>B</w:t>
            </w:r>
          </w:p>
          <w:p w:rsidR="00405CDA" w:rsidRPr="00E424C9" w:rsidRDefault="00405CDA" w:rsidP="00B34CD3">
            <w:pPr>
              <w:tabs>
                <w:tab w:val="left" w:pos="7740"/>
              </w:tabs>
              <w:jc w:val="center"/>
              <w:rPr>
                <w:b/>
              </w:rPr>
            </w:pPr>
            <w:r>
              <w:t>chromosome</w:t>
            </w:r>
          </w:p>
        </w:tc>
      </w:tr>
    </w:tbl>
    <w:p w:rsidR="005C0B5F" w:rsidRDefault="005C0B5F" w:rsidP="00405CDA">
      <w:pPr>
        <w:tabs>
          <w:tab w:val="left" w:pos="7740"/>
        </w:tabs>
      </w:pPr>
    </w:p>
    <w:p w:rsidR="005C0B5F" w:rsidRPr="00E62E5F" w:rsidRDefault="005C0B5F" w:rsidP="005C0B5F">
      <w:pPr>
        <w:tabs>
          <w:tab w:val="left" w:pos="7740"/>
        </w:tabs>
        <w:rPr>
          <w:sz w:val="20"/>
          <w:szCs w:val="20"/>
        </w:rPr>
      </w:pPr>
      <w:r>
        <w:rPr>
          <w:i/>
        </w:rPr>
        <w:t>Assignments-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5C0B5F" w:rsidTr="00B34CD3"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E424C9">
              <w:rPr>
                <w:sz w:val="20"/>
                <w:szCs w:val="20"/>
              </w:rPr>
              <w:t>Monday</w:t>
            </w:r>
          </w:p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</w:p>
          <w:p w:rsidR="005C0B5F" w:rsidRPr="00E424C9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CD423C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736D43C3" wp14:editId="41CD887A">
                  <wp:extent cx="609600" cy="628650"/>
                  <wp:effectExtent l="0" t="0" r="0" b="0"/>
                  <wp:docPr id="1" name="Picture 1" descr="MLK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L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E424C9">
              <w:rPr>
                <w:sz w:val="20"/>
                <w:szCs w:val="20"/>
              </w:rPr>
              <w:t>Tuesday</w:t>
            </w:r>
          </w:p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  <w:p w:rsidR="000C7132" w:rsidRDefault="000C7132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0C7132">
              <w:rPr>
                <w:sz w:val="20"/>
                <w:szCs w:val="20"/>
              </w:rPr>
              <w:t>Read about active transport on PP 182-183</w:t>
            </w:r>
            <w:r>
              <w:rPr>
                <w:sz w:val="20"/>
                <w:szCs w:val="20"/>
              </w:rPr>
              <w:t>.</w:t>
            </w:r>
          </w:p>
          <w:p w:rsidR="003B061E" w:rsidRPr="00E424C9" w:rsidRDefault="003B061E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exam on cells, parts and functions; cell transport, cell theory. Use study guide and castlelearning.</w:t>
            </w: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E424C9">
              <w:rPr>
                <w:sz w:val="20"/>
                <w:szCs w:val="20"/>
              </w:rPr>
              <w:t>Wednesday</w:t>
            </w:r>
          </w:p>
          <w:p w:rsidR="003B061E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</w:t>
            </w:r>
          </w:p>
          <w:p w:rsidR="000C7132" w:rsidRDefault="003F0564" w:rsidP="000C7132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PP 184-186</w:t>
            </w:r>
            <w:r w:rsidR="000C7132" w:rsidRPr="000C7132">
              <w:rPr>
                <w:sz w:val="20"/>
                <w:szCs w:val="20"/>
              </w:rPr>
              <w:t xml:space="preserve"> about cell communication</w:t>
            </w:r>
            <w:r w:rsidR="000C7132">
              <w:rPr>
                <w:sz w:val="20"/>
                <w:szCs w:val="20"/>
              </w:rPr>
              <w:t>.</w:t>
            </w:r>
          </w:p>
          <w:p w:rsidR="000C7132" w:rsidRDefault="000C7132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for exam on cells, parts and functions; cell transport, cell theory. Use study guide and castlelearning.</w:t>
            </w:r>
          </w:p>
          <w:p w:rsidR="000C7132" w:rsidRPr="00E424C9" w:rsidRDefault="000C7132" w:rsidP="000C7132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day I’ll be staying after school to make up material for the 2</w:t>
            </w:r>
            <w:r w:rsidRPr="003B061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quarter average.</w:t>
            </w: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E424C9">
              <w:rPr>
                <w:sz w:val="20"/>
                <w:szCs w:val="20"/>
              </w:rPr>
              <w:t>Thursday</w:t>
            </w:r>
          </w:p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</w:p>
          <w:p w:rsidR="000C7132" w:rsidRPr="00E424C9" w:rsidRDefault="000C7132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3F0564">
              <w:rPr>
                <w:b/>
                <w:sz w:val="20"/>
                <w:szCs w:val="20"/>
              </w:rPr>
              <w:t>Exam</w:t>
            </w:r>
            <w:r w:rsidR="003F0564">
              <w:rPr>
                <w:sz w:val="20"/>
                <w:szCs w:val="20"/>
              </w:rPr>
              <w:t xml:space="preserve"> today</w:t>
            </w:r>
            <w:r>
              <w:rPr>
                <w:sz w:val="20"/>
                <w:szCs w:val="20"/>
              </w:rPr>
              <w:t xml:space="preserve"> on cell unit. We’ll be having a quiz on NYS Diffusion lab.  Be sure you have completed and understand the lab.</w:t>
            </w:r>
          </w:p>
        </w:tc>
        <w:tc>
          <w:tcPr>
            <w:tcW w:w="1772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E424C9">
              <w:rPr>
                <w:sz w:val="20"/>
                <w:szCs w:val="20"/>
              </w:rPr>
              <w:t>Friday</w:t>
            </w:r>
          </w:p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</w:p>
          <w:p w:rsidR="003B061E" w:rsidRPr="00E424C9" w:rsidRDefault="00EE5DF6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66566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659BFB" wp14:editId="2B1DC2BA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1527175</wp:posOffset>
                      </wp:positionV>
                      <wp:extent cx="952500" cy="7715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664" w:rsidRDefault="00EE5DF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87A0B4" wp14:editId="302CDABB">
                                        <wp:extent cx="780657" cy="714375"/>
                                        <wp:effectExtent l="0" t="0" r="635" b="0"/>
                                        <wp:docPr id="3" name="Picture 3" descr="http://learningcenter.statefarm.com/3.5-finances_retirement_retirementincomeneed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learningcenter.statefarm.com/3.5-finances_retirement_retirementincomeneed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4948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0987" cy="7146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0.55pt;margin-top:120.25pt;width: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">
                      <v:textbox>
                        <w:txbxContent>
                          <w:p w:rsidR="00665664" w:rsidRDefault="00EE5D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7A0B4" wp14:editId="302CDABB">
                                  <wp:extent cx="780657" cy="714375"/>
                                  <wp:effectExtent l="0" t="0" r="635" b="0"/>
                                  <wp:docPr id="3" name="Picture 3" descr="http://learningcenter.statefarm.com/3.5-finances_retirement_retirementincomenee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earningcenter.statefarm.com/3.5-finances_retirement_retirementincomenee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9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987" cy="714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61E">
              <w:rPr>
                <w:sz w:val="20"/>
                <w:szCs w:val="20"/>
              </w:rPr>
              <w:t>Last day of second quarter marking period.</w:t>
            </w:r>
            <w:r w:rsidR="000C7132">
              <w:rPr>
                <w:sz w:val="20"/>
                <w:szCs w:val="20"/>
              </w:rPr>
              <w:t xml:space="preserve"> No HW tonight.</w:t>
            </w:r>
          </w:p>
        </w:tc>
      </w:tr>
      <w:tr w:rsidR="005C0B5F" w:rsidTr="00B34CD3"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5C0B5F">
              <w:rPr>
                <w:sz w:val="20"/>
                <w:szCs w:val="20"/>
              </w:rPr>
              <w:t>1/26</w:t>
            </w:r>
          </w:p>
          <w:p w:rsidR="003F0564" w:rsidRPr="005C0B5F" w:rsidRDefault="003F0564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DB6C4C">
              <w:rPr>
                <w:sz w:val="20"/>
                <w:szCs w:val="20"/>
              </w:rPr>
              <w:t>Read PP 223-226 about cell division</w:t>
            </w: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5C0B5F">
              <w:rPr>
                <w:sz w:val="20"/>
                <w:szCs w:val="20"/>
              </w:rPr>
              <w:t>1/27</w:t>
            </w:r>
          </w:p>
          <w:p w:rsidR="003F0564" w:rsidRDefault="003F0564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flashcards </w:t>
            </w:r>
            <w:r w:rsidRPr="003F0564">
              <w:rPr>
                <w:b/>
                <w:sz w:val="20"/>
                <w:szCs w:val="20"/>
              </w:rPr>
              <w:t>A</w:t>
            </w:r>
          </w:p>
          <w:p w:rsidR="003F0564" w:rsidRPr="005C0B5F" w:rsidRDefault="003F0564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5C0B5F">
              <w:rPr>
                <w:sz w:val="20"/>
                <w:szCs w:val="20"/>
              </w:rPr>
              <w:t>1/28</w:t>
            </w:r>
          </w:p>
          <w:p w:rsidR="00405CDA" w:rsidRDefault="00405CDA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flashcard </w:t>
            </w:r>
            <w:r w:rsidRPr="00405CD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  <w:p w:rsidR="000C7132" w:rsidRPr="005C0B5F" w:rsidRDefault="000C7132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after school today to make up any labs you owe.</w:t>
            </w:r>
          </w:p>
        </w:tc>
        <w:tc>
          <w:tcPr>
            <w:tcW w:w="1771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5C0B5F">
              <w:rPr>
                <w:sz w:val="20"/>
                <w:szCs w:val="20"/>
              </w:rPr>
              <w:t>1/29</w:t>
            </w:r>
          </w:p>
          <w:p w:rsidR="002E68B6" w:rsidRPr="005C0B5F" w:rsidRDefault="002E68B6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HW tonight, but don’t get spoiled!  I just need to wrap up lose ends.</w:t>
            </w:r>
            <w:bookmarkStart w:id="0" w:name="_GoBack"/>
            <w:bookmarkEnd w:id="0"/>
          </w:p>
        </w:tc>
        <w:tc>
          <w:tcPr>
            <w:tcW w:w="1772" w:type="dxa"/>
            <w:shd w:val="clear" w:color="auto" w:fill="auto"/>
          </w:tcPr>
          <w:p w:rsidR="005C0B5F" w:rsidRDefault="005C0B5F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 w:rsidRPr="005C0B5F">
              <w:rPr>
                <w:sz w:val="20"/>
                <w:szCs w:val="20"/>
              </w:rPr>
              <w:t>1/30</w:t>
            </w:r>
          </w:p>
          <w:p w:rsidR="00665664" w:rsidRDefault="00665664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HW tonight! I’ll be leaving right after school for my retirement party</w:t>
            </w:r>
          </w:p>
          <w:p w:rsidR="00665664" w:rsidRPr="005C0B5F" w:rsidRDefault="00665664" w:rsidP="00B34CD3">
            <w:pPr>
              <w:tabs>
                <w:tab w:val="left" w:pos="77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C0B5F" w:rsidRDefault="005C0B5F" w:rsidP="005C0B5F">
      <w:pPr>
        <w:tabs>
          <w:tab w:val="left" w:pos="7740"/>
        </w:tabs>
        <w:rPr>
          <w:i/>
        </w:rPr>
      </w:pPr>
    </w:p>
    <w:p w:rsidR="005C0B5F" w:rsidRDefault="005C0B5F" w:rsidP="005C0B5F">
      <w:pPr>
        <w:tabs>
          <w:tab w:val="left" w:pos="7740"/>
        </w:tabs>
        <w:rPr>
          <w:i/>
        </w:rPr>
      </w:pPr>
      <w:r>
        <w:rPr>
          <w:i/>
        </w:rPr>
        <w:t>Exam-</w:t>
      </w:r>
    </w:p>
    <w:p w:rsidR="000C7132" w:rsidRPr="000C7132" w:rsidRDefault="000C7132" w:rsidP="005C0B5F">
      <w:pPr>
        <w:tabs>
          <w:tab w:val="left" w:pos="7740"/>
        </w:tabs>
      </w:pPr>
      <w:r w:rsidRPr="000C7132">
        <w:t>1/22-</w:t>
      </w:r>
      <w:r>
        <w:t>Cell parts and functions, cell theory, cell transport (passive, active, osmosis).  Use study guide and castlelearning reviews.</w:t>
      </w:r>
      <w:r w:rsidR="003F0564">
        <w:t xml:space="preserve"> You can stay after school Tuesday or Wednesday to ask specific questions after you study.</w:t>
      </w:r>
    </w:p>
    <w:p w:rsidR="00405CDA" w:rsidRPr="00405CDA" w:rsidRDefault="00405CDA" w:rsidP="008322CE">
      <w:pPr>
        <w:jc w:val="center"/>
        <w:rPr>
          <w:rFonts w:ascii="Tahoma" w:hAnsi="Tahoma" w:cs="Tahoma"/>
          <w:sz w:val="22"/>
          <w:szCs w:val="22"/>
        </w:rPr>
      </w:pPr>
      <w:r w:rsidRPr="00405CDA">
        <w:rPr>
          <w:rFonts w:ascii="Tahoma" w:hAnsi="Tahoma" w:cs="Tahoma"/>
          <w:sz w:val="22"/>
          <w:szCs w:val="22"/>
        </w:rPr>
        <w:t>It has been a privilege, and often a pleasure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79412" cy="255157"/>
            <wp:effectExtent l="0" t="0" r="6350" b="0"/>
            <wp:docPr id="2" name="Picture 2" descr="C:\Users\BNies\AppData\Local\Microsoft\Windows\Temporary Internet Files\Content.IE5\N7S6IT63\7769266568_ce9454c85d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ies\AppData\Local\Microsoft\Windows\Temporary Internet Files\Content.IE5\N7S6IT63\7769266568_ce9454c85d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8" cy="2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CDA">
        <w:rPr>
          <w:rFonts w:ascii="Tahoma" w:hAnsi="Tahoma" w:cs="Tahoma"/>
          <w:sz w:val="22"/>
          <w:szCs w:val="22"/>
        </w:rPr>
        <w:t>, to be your teacher.  You have made the transition from junior high to Baker High and you should be proud of what you have accomplished.</w:t>
      </w:r>
      <w:r>
        <w:rPr>
          <w:rFonts w:ascii="Tahoma" w:hAnsi="Tahoma" w:cs="Tahoma"/>
          <w:sz w:val="22"/>
          <w:szCs w:val="22"/>
        </w:rPr>
        <w:t xml:space="preserve"> Good luck on the Regents exam!</w:t>
      </w:r>
    </w:p>
    <w:sectPr w:rsidR="00405CDA" w:rsidRPr="00405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5F"/>
    <w:rsid w:val="000C7132"/>
    <w:rsid w:val="00223272"/>
    <w:rsid w:val="002E68B6"/>
    <w:rsid w:val="003B061E"/>
    <w:rsid w:val="003F0564"/>
    <w:rsid w:val="00405CDA"/>
    <w:rsid w:val="00547E65"/>
    <w:rsid w:val="005C0B5F"/>
    <w:rsid w:val="00665664"/>
    <w:rsid w:val="006D2BE3"/>
    <w:rsid w:val="006D6BED"/>
    <w:rsid w:val="008322CE"/>
    <w:rsid w:val="00C45B9C"/>
    <w:rsid w:val="00E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silk.net/RelEd/graphics/MLKC.JPG&amp;imgrefurl=http://www.silk.net/RelEd/martin.htm&amp;usg=__QNRCMRrT2OZ_-I-aEH8xFW8nCqY=&amp;h=1267&amp;w=1229&amp;sz=407&amp;hl=en&amp;start=239&amp;tbnid=EBE3CP7718UPJM:&amp;tbnh=150&amp;tbnw=146&amp;prev=/images?q=martin+luther+king+jr&amp;start=220&amp;gbv=2&amp;ndsp=20&amp;hl=en&amp;safe=active&amp;sa=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cp:lastPrinted>2015-01-16T19:43:00Z</cp:lastPrinted>
  <dcterms:created xsi:type="dcterms:W3CDTF">2015-01-16T19:46:00Z</dcterms:created>
  <dcterms:modified xsi:type="dcterms:W3CDTF">2015-01-16T19:46:00Z</dcterms:modified>
</cp:coreProperties>
</file>